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84" w:rsidRDefault="009B3495">
      <w:pPr>
        <w:pBdr>
          <w:top w:val="single" w:sz="4" w:space="1" w:color="000001"/>
          <w:left w:val="single" w:sz="4" w:space="0" w:color="000001"/>
          <w:bottom w:val="single" w:sz="4" w:space="1" w:color="000001"/>
          <w:right w:val="single" w:sz="4" w:space="4" w:color="000001"/>
        </w:pBdr>
        <w:jc w:val="center"/>
      </w:pPr>
      <w:r>
        <w:rPr>
          <w:b/>
        </w:rPr>
        <w:t xml:space="preserve">Annexe 01 - Modalités de dépôt d’un dossier de demande de subvention dans le cadre de l’opération « quartiers d’été » </w:t>
      </w:r>
      <w:bookmarkStart w:id="0" w:name="__DdeLink__1750_2886656478"/>
      <w:bookmarkEnd w:id="0"/>
      <w:r>
        <w:rPr>
          <w:b/>
        </w:rPr>
        <w:t xml:space="preserve"> </w:t>
      </w:r>
    </w:p>
    <w:p w:rsidR="003C6784" w:rsidRDefault="009B3495">
      <w:pPr>
        <w:pStyle w:val="NormalWeb"/>
        <w:spacing w:before="280" w:beforeAutospacing="0" w:after="0" w:line="240" w:lineRule="auto"/>
        <w:ind w:left="72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Pour une première demande</w:t>
      </w:r>
    </w:p>
    <w:p w:rsidR="003C6784" w:rsidRDefault="009B3495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Le porteur doit se connecter sur la plateforme Dauphin pour créer son compte personnel :</w:t>
      </w:r>
    </w:p>
    <w:p w:rsidR="009B3495" w:rsidRDefault="00A63DF9">
      <w:pPr>
        <w:pStyle w:val="NormalWeb"/>
        <w:spacing w:before="280" w:beforeAutospacing="0" w:after="0" w:line="240" w:lineRule="auto"/>
        <w:jc w:val="both"/>
        <w:rPr>
          <w:rStyle w:val="LienInternet"/>
          <w:rFonts w:asciiTheme="minorHAnsi" w:eastAsiaTheme="minorHAnsi" w:hAnsiTheme="minorHAnsi" w:cstheme="minorHAnsi"/>
          <w:color w:val="0000FF"/>
          <w:sz w:val="22"/>
          <w:szCs w:val="22"/>
          <w:lang w:eastAsia="en-US"/>
        </w:rPr>
      </w:pPr>
      <w:hyperlink r:id="rId7" w:history="1">
        <w:r w:rsidR="009B3495" w:rsidRPr="009A6A9C">
          <w:rPr>
            <w:rStyle w:val="Lienhypertexte"/>
            <w:rFonts w:asciiTheme="minorHAnsi" w:eastAsiaTheme="minorHAnsi" w:hAnsiTheme="minorHAnsi" w:cstheme="minorHAnsi"/>
            <w:sz w:val="22"/>
            <w:szCs w:val="22"/>
            <w:lang w:eastAsia="en-US"/>
          </w:rPr>
          <w:t>https://usager-dauphin.anct.gouv.fr</w:t>
        </w:r>
      </w:hyperlink>
    </w:p>
    <w:p w:rsidR="003C6784" w:rsidRDefault="009B3495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Il choisit son identifiant et son mot de passe. Ce compte permettra au porteur de déposer une demande de subvention, de la modifier et de mettre à jour les informations de son organisme.</w:t>
      </w:r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Toutes les informations utiles pour le dépôt d’un dossier de subvention sont disponibles sur le lien suivant :</w:t>
      </w:r>
    </w:p>
    <w:p w:rsidR="003C6784" w:rsidRDefault="00A63DF9">
      <w:pPr>
        <w:pStyle w:val="NormalWeb"/>
        <w:spacing w:before="280" w:beforeAutospacing="0" w:after="0" w:line="240" w:lineRule="auto"/>
        <w:jc w:val="both"/>
      </w:pPr>
      <w:hyperlink r:id="rId8">
        <w:r w:rsidR="009B3495">
          <w:rPr>
            <w:rStyle w:val="LienInternet"/>
            <w:rFonts w:asciiTheme="minorHAnsi" w:eastAsiaTheme="minorHAnsi" w:hAnsiTheme="minorHAnsi" w:cstheme="minorHAnsi"/>
            <w:sz w:val="22"/>
            <w:szCs w:val="22"/>
            <w:lang w:eastAsia="en-US"/>
          </w:rPr>
          <w:t>https://www.seine-saint-denis.gouv.fr/Politiques-publiques/Politique-de-la-ville/La-demande-de-subvention</w:t>
        </w:r>
      </w:hyperlink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numPr>
          <w:ilvl w:val="0"/>
          <w:numId w:val="1"/>
        </w:numP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  <w:t>C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e n’est pas une première demande</w:t>
      </w:r>
    </w:p>
    <w:p w:rsidR="003C6784" w:rsidRDefault="009B3495">
      <w:pPr>
        <w:pStyle w:val="NormalWeb"/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Le porteur dispose d’un code tiers obtenu lors d’appels à projet 2022, 2023 ou 2024 (contrat de ville, quartiers d’été, quartiers solidaires…). Celui-ci aura besoin des éléments suivants : l’identifiant et le mot de passe</w:t>
      </w:r>
    </w:p>
    <w:p w:rsidR="003C6784" w:rsidRDefault="009B3495">
      <w:pPr>
        <w:pStyle w:val="NormalWeb"/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Un service d’assistance est mis à votre disposition au numéro suivant : 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09 70 81 86 94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Vous pouvez également envoyer un email à l’assistance à partir de votre espace usagers.</w:t>
      </w:r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Pour le dépôt de votre dossier de subvention, dans le champ « contrat de ville », il convient de sélectionner impérativement 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« 93 – hors contrat de ville »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:rsidR="003C6784" w:rsidRDefault="003C6784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Merci de bien vouloir nommer vos actions de la manière suivante et d’intégrer l’acronyme QE pour « quartiers d’été » dans la dénomination : </w:t>
      </w:r>
    </w:p>
    <w:p w:rsidR="003C6784" w:rsidRDefault="003C6784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Dispositif – Territoire - Nom de l’action</w:t>
      </w:r>
    </w:p>
    <w:p w:rsidR="003C6784" w:rsidRDefault="003C6784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Exemple :  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QE AUB – Activités sportives estivales dans le quartier du Landy</w:t>
      </w:r>
    </w:p>
    <w:p w:rsidR="003C6784" w:rsidRDefault="009B3495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  <w:t xml:space="preserve">   </w:t>
      </w:r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:rsidR="003C6784" w:rsidRDefault="009B3495">
      <w:pPr>
        <w:pStyle w:val="NormalWeb"/>
        <w:numPr>
          <w:ilvl w:val="0"/>
          <w:numId w:val="1"/>
        </w:numP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  <w:lastRenderedPageBreak/>
        <w:t>Activités et actions éligibles :</w:t>
      </w:r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spacing w:after="0" w:line="240" w:lineRule="auto"/>
        <w:jc w:val="both"/>
      </w:pPr>
      <w:r>
        <w:rPr>
          <w:rFonts w:cstheme="minorHAnsi"/>
          <w:color w:val="000000"/>
        </w:rPr>
        <w:t>Activités pédagogiques et ludiques à destination des jeunes</w:t>
      </w:r>
      <w:r w:rsidR="00A63DF9">
        <w:rPr>
          <w:rFonts w:cstheme="minorHAnsi"/>
          <w:color w:val="000000"/>
        </w:rPr>
        <w:t xml:space="preserve"> et</w:t>
      </w:r>
      <w:r>
        <w:rPr>
          <w:rFonts w:cstheme="minorHAnsi"/>
          <w:color w:val="000000"/>
        </w:rPr>
        <w:t xml:space="preserve"> des</w:t>
      </w:r>
      <w:r w:rsidR="00A63DF9">
        <w:rPr>
          <w:rFonts w:cstheme="minorHAnsi"/>
          <w:color w:val="000000"/>
        </w:rPr>
        <w:t xml:space="preserve"> familles des</w:t>
      </w:r>
      <w:bookmarkStart w:id="1" w:name="_GoBack"/>
      <w:bookmarkEnd w:id="1"/>
      <w:r>
        <w:rPr>
          <w:rFonts w:cstheme="minorHAnsi"/>
          <w:color w:val="000000"/>
        </w:rPr>
        <w:t xml:space="preserve"> quartiers prioritaires de la politique de la ville : un temps de respiration, de divertissement, de découverte et/ou un temps de rencontres et de renforcement du lien social.</w:t>
      </w:r>
    </w:p>
    <w:p w:rsidR="003C6784" w:rsidRDefault="003C6784">
      <w:pPr>
        <w:spacing w:after="0" w:line="240" w:lineRule="auto"/>
        <w:jc w:val="both"/>
        <w:rPr>
          <w:rFonts w:cstheme="minorHAnsi"/>
          <w:color w:val="000000"/>
        </w:rPr>
      </w:pPr>
    </w:p>
    <w:p w:rsidR="003C6784" w:rsidRPr="00A63DF9" w:rsidRDefault="009B3495">
      <w:pPr>
        <w:pStyle w:val="NormalWeb"/>
        <w:numPr>
          <w:ilvl w:val="0"/>
          <w:numId w:val="1"/>
        </w:numPr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  <w:t>Priorités :</w:t>
      </w:r>
    </w:p>
    <w:p w:rsidR="00A63DF9" w:rsidRDefault="00A63DF9" w:rsidP="00A63DF9">
      <w:pPr>
        <w:pStyle w:val="NormalWeb"/>
        <w:spacing w:before="280" w:beforeAutospacing="0" w:after="0" w:line="240" w:lineRule="auto"/>
        <w:ind w:left="720"/>
        <w:jc w:val="both"/>
      </w:pPr>
    </w:p>
    <w:p w:rsidR="00A63DF9" w:rsidRPr="0020527A" w:rsidRDefault="00A63DF9" w:rsidP="00A63D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proofErr w:type="gramStart"/>
      <w:r w:rsidRPr="0020527A">
        <w:rPr>
          <w:rFonts w:ascii="Arial" w:hAnsi="Arial" w:cs="Arial"/>
          <w:color w:val="000000"/>
        </w:rPr>
        <w:t>soutien</w:t>
      </w:r>
      <w:proofErr w:type="gramEnd"/>
      <w:r w:rsidRPr="0020527A">
        <w:rPr>
          <w:rFonts w:ascii="Arial" w:hAnsi="Arial" w:cs="Arial"/>
          <w:color w:val="000000"/>
        </w:rPr>
        <w:t xml:space="preserve"> aux actions relatives à la parentalité, </w:t>
      </w:r>
    </w:p>
    <w:p w:rsidR="00A63DF9" w:rsidRPr="0020527A" w:rsidRDefault="00A63DF9" w:rsidP="00A63D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proofErr w:type="gramStart"/>
      <w:r w:rsidRPr="0020527A">
        <w:rPr>
          <w:rFonts w:ascii="Arial" w:hAnsi="Arial" w:cs="Arial"/>
          <w:color w:val="000000"/>
        </w:rPr>
        <w:t>promotion</w:t>
      </w:r>
      <w:proofErr w:type="gramEnd"/>
      <w:r w:rsidRPr="0020527A">
        <w:rPr>
          <w:rFonts w:ascii="Arial" w:hAnsi="Arial" w:cs="Arial"/>
          <w:color w:val="000000"/>
        </w:rPr>
        <w:t xml:space="preserve"> des activités culturelles et sportives.</w:t>
      </w:r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3C6784" w:rsidRDefault="009B3495">
      <w:pPr>
        <w:pStyle w:val="NormalWeb"/>
        <w:numPr>
          <w:ilvl w:val="0"/>
          <w:numId w:val="1"/>
        </w:numPr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  <w:t xml:space="preserve">Structures éligibles : </w:t>
      </w:r>
    </w:p>
    <w:p w:rsidR="003C6784" w:rsidRDefault="003C6784">
      <w:pPr>
        <w:pStyle w:val="NormalWeb"/>
        <w:spacing w:before="280" w:beforeAutospacing="0" w:after="0" w:line="240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:rsidR="003C6784" w:rsidRDefault="009B3495">
      <w:pPr>
        <w:pStyle w:val="NormalWeb"/>
        <w:spacing w:before="280" w:beforeAutospacing="0" w:after="0" w:line="240" w:lineRule="auto"/>
        <w:jc w:val="both"/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Les associations et les collectivités situées en géographie prioritaire politique de la ville.</w:t>
      </w:r>
    </w:p>
    <w:p w:rsidR="003C6784" w:rsidRDefault="003C6784">
      <w:pPr>
        <w:pStyle w:val="NormalWeb"/>
        <w:spacing w:before="280" w:beforeAutospacing="0" w:after="0" w:line="240" w:lineRule="auto"/>
        <w:jc w:val="both"/>
      </w:pPr>
    </w:p>
    <w:p w:rsidR="003C6784" w:rsidRDefault="009B3495">
      <w:pPr>
        <w:pStyle w:val="NormalWeb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280" w:beforeAutospacing="0" w:after="0" w:line="240" w:lineRule="auto"/>
        <w:jc w:val="center"/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Date l</w:t>
      </w:r>
      <w:r w:rsidR="00A63DF9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imite de dépôt des dossiers : 05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="00A63DF9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juin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2025</w:t>
      </w:r>
    </w:p>
    <w:sectPr w:rsidR="003C6784">
      <w:headerReference w:type="default" r:id="rId9"/>
      <w:pgSz w:w="11906" w:h="16838"/>
      <w:pgMar w:top="765" w:right="720" w:bottom="720" w:left="720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66" w:rsidRDefault="009B3495">
      <w:pPr>
        <w:spacing w:after="0" w:line="240" w:lineRule="auto"/>
      </w:pPr>
      <w:r>
        <w:separator/>
      </w:r>
    </w:p>
  </w:endnote>
  <w:endnote w:type="continuationSeparator" w:id="0">
    <w:p w:rsidR="003A4866" w:rsidRDefault="009B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66" w:rsidRDefault="009B3495">
      <w:pPr>
        <w:spacing w:after="0" w:line="240" w:lineRule="auto"/>
      </w:pPr>
      <w:r>
        <w:separator/>
      </w:r>
    </w:p>
  </w:footnote>
  <w:footnote w:type="continuationSeparator" w:id="0">
    <w:p w:rsidR="003A4866" w:rsidRDefault="009B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784" w:rsidRDefault="009B3495">
    <w:pPr>
      <w:pStyle w:val="En-tte"/>
    </w:pPr>
    <w:r>
      <w:t>PDEC / Mission ville</w:t>
    </w:r>
    <w:r>
      <w:tab/>
    </w:r>
    <w:r>
      <w:tab/>
    </w:r>
  </w:p>
  <w:p w:rsidR="003C6784" w:rsidRDefault="003C67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000000"/>
        <w:sz w:val="24"/>
        <w:szCs w:val="24"/>
        <w:lang w:eastAsia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  <w:sz w:val="24"/>
        <w:szCs w:val="24"/>
        <w:lang w:eastAsia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  <w:sz w:val="24"/>
        <w:szCs w:val="24"/>
        <w:lang w:eastAsia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0A4B3F"/>
    <w:multiLevelType w:val="multilevel"/>
    <w:tmpl w:val="EC2CECD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236F2B"/>
    <w:multiLevelType w:val="multilevel"/>
    <w:tmpl w:val="0B3C74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4"/>
    <w:rsid w:val="003A4866"/>
    <w:rsid w:val="003C6784"/>
    <w:rsid w:val="009B3495"/>
    <w:rsid w:val="00A6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BA1B"/>
  <w15:docId w15:val="{4097FB47-9E8D-45C0-9A8B-9EA85CA9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F60E97"/>
  </w:style>
  <w:style w:type="character" w:customStyle="1" w:styleId="PieddepageCar">
    <w:name w:val="Pied de page Car"/>
    <w:basedOn w:val="Policepardfaut"/>
    <w:link w:val="Pieddepage"/>
    <w:uiPriority w:val="99"/>
    <w:qFormat/>
    <w:rsid w:val="00F60E97"/>
  </w:style>
  <w:style w:type="character" w:customStyle="1" w:styleId="fontstyle01">
    <w:name w:val="fontstyle01"/>
    <w:basedOn w:val="Policepardfaut"/>
    <w:qFormat/>
    <w:rsid w:val="007109F0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enInternet">
    <w:name w:val="Lien Internet"/>
    <w:basedOn w:val="Policepardfaut"/>
    <w:uiPriority w:val="99"/>
    <w:unhideWhenUsed/>
    <w:rsid w:val="007109F0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B6BE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Calibri" w:hAnsi="Calibri" w:cs="Calibri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F60E9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60E97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109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109F0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B6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B3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ine-saint-denis.gouv.fr/Politiques-publiques/Politique-de-la-ville/La-demande-de-subven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ager-dauphin.anct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1936</Characters>
  <Application>Microsoft Office Word</Application>
  <DocSecurity>0</DocSecurity>
  <Lines>16</Lines>
  <Paragraphs>4</Paragraphs>
  <ScaleCrop>false</ScaleCrop>
  <Company>DSIC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MAURICE Sebastien</cp:lastModifiedBy>
  <cp:revision>3</cp:revision>
  <dcterms:created xsi:type="dcterms:W3CDTF">2025-02-27T15:01:00Z</dcterms:created>
  <dcterms:modified xsi:type="dcterms:W3CDTF">2025-05-07T11:22:00Z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